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70" w:rsidRPr="00E37270" w:rsidRDefault="00E37270" w:rsidP="00E37270">
      <w:pPr>
        <w:spacing w:after="0" w:line="240" w:lineRule="auto"/>
        <w:rPr>
          <w:rFonts w:ascii="Times New Roman" w:eastAsia="Times New Roman" w:hAnsi="Times New Roman" w:cs="Times New Roman"/>
          <w:sz w:val="24"/>
          <w:szCs w:val="24"/>
          <w:lang w:eastAsia="es-ES"/>
        </w:rPr>
      </w:pPr>
      <w:r w:rsidRPr="00E37270">
        <w:rPr>
          <w:rFonts w:ascii="Times New Roman" w:eastAsia="Times New Roman" w:hAnsi="Times New Roman" w:cs="Times New Roman"/>
          <w:sz w:val="24"/>
          <w:szCs w:val="24"/>
          <w:lang w:eastAsia="es-ES"/>
        </w:rPr>
        <w:t>MIÉRCOLES 28 DE NOVIEMBRE DEL 2012 | 19:20</w:t>
      </w:r>
    </w:p>
    <w:p w:rsidR="00E37270" w:rsidRPr="00E37270" w:rsidRDefault="00E37270" w:rsidP="00E37270">
      <w:pPr>
        <w:shd w:val="clear" w:color="auto" w:fill="FFFFFF"/>
        <w:spacing w:before="150" w:after="150" w:line="674" w:lineRule="atLeast"/>
        <w:jc w:val="both"/>
        <w:outlineLvl w:val="0"/>
        <w:rPr>
          <w:rFonts w:ascii="glosa_headlineblack" w:eastAsia="Times New Roman" w:hAnsi="glosa_headlineblack" w:cs="Times New Roman"/>
          <w:color w:val="272727"/>
          <w:kern w:val="36"/>
          <w:sz w:val="63"/>
          <w:szCs w:val="63"/>
          <w:lang w:eastAsia="es-ES"/>
        </w:rPr>
      </w:pPr>
      <w:r w:rsidRPr="00E37270">
        <w:rPr>
          <w:rFonts w:ascii="glosa_headlineblack" w:eastAsia="Times New Roman" w:hAnsi="glosa_headlineblack" w:cs="Times New Roman"/>
          <w:color w:val="272727"/>
          <w:kern w:val="36"/>
          <w:sz w:val="63"/>
          <w:szCs w:val="63"/>
          <w:lang w:eastAsia="es-ES"/>
        </w:rPr>
        <w:t xml:space="preserve">¿Cuáles son los </w:t>
      </w:r>
      <w:bookmarkStart w:id="0" w:name="_GoBack"/>
      <w:r w:rsidRPr="00E37270">
        <w:rPr>
          <w:rFonts w:ascii="glosa_headlineblack" w:eastAsia="Times New Roman" w:hAnsi="glosa_headlineblack" w:cs="Times New Roman"/>
          <w:color w:val="272727"/>
          <w:kern w:val="36"/>
          <w:sz w:val="63"/>
          <w:szCs w:val="63"/>
          <w:lang w:eastAsia="es-ES"/>
        </w:rPr>
        <w:t>beneficios de la nueva ley de seguros</w:t>
      </w:r>
      <w:bookmarkEnd w:id="0"/>
      <w:r w:rsidRPr="00E37270">
        <w:rPr>
          <w:rFonts w:ascii="glosa_headlineblack" w:eastAsia="Times New Roman" w:hAnsi="glosa_headlineblack" w:cs="Times New Roman"/>
          <w:color w:val="272727"/>
          <w:kern w:val="36"/>
          <w:sz w:val="63"/>
          <w:szCs w:val="63"/>
          <w:lang w:eastAsia="es-ES"/>
        </w:rPr>
        <w:t>?</w:t>
      </w:r>
    </w:p>
    <w:p w:rsidR="00E37270" w:rsidRPr="00E37270" w:rsidRDefault="00E37270" w:rsidP="00E37270">
      <w:pPr>
        <w:shd w:val="clear" w:color="auto" w:fill="FFFFFF"/>
        <w:spacing w:after="225" w:line="286" w:lineRule="atLeast"/>
        <w:jc w:val="both"/>
        <w:outlineLvl w:val="1"/>
        <w:rPr>
          <w:rFonts w:ascii="prelobook" w:eastAsia="Times New Roman" w:hAnsi="prelobook" w:cs="Times New Roman"/>
          <w:color w:val="373535"/>
          <w:sz w:val="26"/>
          <w:szCs w:val="26"/>
          <w:lang w:eastAsia="es-ES"/>
        </w:rPr>
      </w:pPr>
      <w:r w:rsidRPr="00E37270">
        <w:rPr>
          <w:rFonts w:ascii="prelobook" w:eastAsia="Times New Roman" w:hAnsi="prelobook" w:cs="Times New Roman"/>
          <w:color w:val="373535"/>
          <w:sz w:val="26"/>
          <w:szCs w:val="26"/>
          <w:lang w:eastAsia="es-ES"/>
        </w:rPr>
        <w:t>El abogado Alfonso Núñez del Prado destaca que la </w:t>
      </w:r>
      <w:hyperlink r:id="rId5" w:history="1">
        <w:r w:rsidRPr="00E37270">
          <w:rPr>
            <w:rFonts w:ascii="prelobook" w:eastAsia="Times New Roman" w:hAnsi="prelobook" w:cs="Times New Roman"/>
            <w:color w:val="373535"/>
            <w:sz w:val="26"/>
            <w:szCs w:val="26"/>
            <w:u w:val="single"/>
            <w:lang w:eastAsia="es-ES"/>
          </w:rPr>
          <w:t>norma</w:t>
        </w:r>
      </w:hyperlink>
      <w:r w:rsidRPr="00E37270">
        <w:rPr>
          <w:rFonts w:ascii="prelobook" w:eastAsia="Times New Roman" w:hAnsi="prelobook" w:cs="Times New Roman"/>
          <w:color w:val="373535"/>
          <w:sz w:val="26"/>
          <w:szCs w:val="26"/>
          <w:lang w:eastAsia="es-ES"/>
        </w:rPr>
        <w:t> crea la continuidad de las preexistencias y evita que se suspenda la póliza por falta de pago</w:t>
      </w:r>
    </w:p>
    <w:p w:rsidR="00E37270" w:rsidRPr="00E37270" w:rsidRDefault="00E37270" w:rsidP="00E37270">
      <w:pPr>
        <w:numPr>
          <w:ilvl w:val="0"/>
          <w:numId w:val="2"/>
        </w:numPr>
        <w:shd w:val="clear" w:color="auto" w:fill="FFFFFF"/>
        <w:spacing w:before="100" w:beforeAutospacing="1" w:after="100" w:afterAutospacing="1" w:line="240" w:lineRule="auto"/>
        <w:ind w:left="0"/>
        <w:rPr>
          <w:rFonts w:ascii="Arial" w:eastAsia="Times New Roman" w:hAnsi="Arial" w:cs="Arial"/>
          <w:color w:val="4D4D4D"/>
          <w:sz w:val="21"/>
          <w:szCs w:val="21"/>
          <w:lang w:eastAsia="es-ES"/>
        </w:rPr>
      </w:pPr>
      <w:hyperlink r:id="rId6" w:history="1">
        <w:r w:rsidRPr="00E37270">
          <w:rPr>
            <w:rFonts w:ascii="FontAwesome" w:eastAsia="Times New Roman" w:hAnsi="FontAwesome" w:cs="Arial"/>
            <w:color w:val="000000"/>
            <w:sz w:val="21"/>
            <w:szCs w:val="21"/>
            <w:u w:val="single"/>
            <w:shd w:val="clear" w:color="auto" w:fill="DDDDDD"/>
            <w:lang w:eastAsia="es-ES"/>
          </w:rPr>
          <w:sym w:font="Symbol" w:char="F02F"/>
        </w:r>
      </w:hyperlink>
      <w:r w:rsidRPr="00E37270">
        <w:rPr>
          <w:rFonts w:ascii="Arial" w:eastAsia="Times New Roman" w:hAnsi="Arial" w:cs="Arial"/>
          <w:b/>
          <w:bCs/>
          <w:color w:val="4D4D4D"/>
          <w:sz w:val="21"/>
          <w:szCs w:val="21"/>
          <w:lang w:eastAsia="es-ES"/>
        </w:rPr>
        <w:t>ALEJANDRA COSTA</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000000"/>
          <w:sz w:val="21"/>
          <w:szCs w:val="21"/>
          <w:shd w:val="clear" w:color="auto" w:fill="FFFFDD"/>
          <w:lang w:eastAsia="es-ES"/>
        </w:rPr>
        <w:t>A partir de la aprobación de la </w:t>
      </w:r>
      <w:hyperlink r:id="rId7" w:history="1">
        <w:r w:rsidRPr="00E37270">
          <w:rPr>
            <w:rFonts w:ascii="Arial" w:eastAsia="Times New Roman" w:hAnsi="Arial" w:cs="Arial"/>
            <w:color w:val="000000"/>
            <w:sz w:val="21"/>
            <w:szCs w:val="21"/>
            <w:u w:val="single"/>
            <w:shd w:val="clear" w:color="auto" w:fill="FFFFDD"/>
            <w:lang w:eastAsia="es-ES"/>
          </w:rPr>
          <w:t>Ley del Contrato de Seguros</w:t>
        </w:r>
      </w:hyperlink>
      <w:r w:rsidRPr="00E37270">
        <w:rPr>
          <w:rFonts w:ascii="Arial" w:eastAsia="Times New Roman" w:hAnsi="Arial" w:cs="Arial"/>
          <w:color w:val="000000"/>
          <w:sz w:val="21"/>
          <w:szCs w:val="21"/>
          <w:shd w:val="clear" w:color="auto" w:fill="FFFFDD"/>
          <w:lang w:eastAsia="es-ES"/>
        </w:rPr>
        <w:t>, </w:t>
      </w:r>
      <w:r w:rsidRPr="00E37270">
        <w:rPr>
          <w:rFonts w:ascii="Arial" w:eastAsia="Times New Roman" w:hAnsi="Arial" w:cs="Arial"/>
          <w:b/>
          <w:bCs/>
          <w:color w:val="000000"/>
          <w:sz w:val="21"/>
          <w:szCs w:val="21"/>
          <w:shd w:val="clear" w:color="auto" w:fill="FFFFDD"/>
          <w:lang w:eastAsia="es-ES"/>
        </w:rPr>
        <w:t>la cobertura de una póliza ya no</w:t>
      </w:r>
      <w:r w:rsidRPr="00E37270">
        <w:rPr>
          <w:rFonts w:ascii="Arial" w:eastAsia="Times New Roman" w:hAnsi="Arial" w:cs="Arial"/>
          <w:b/>
          <w:bCs/>
          <w:color w:val="4D4D4D"/>
          <w:sz w:val="21"/>
          <w:szCs w:val="21"/>
          <w:lang w:eastAsia="es-ES"/>
        </w:rPr>
        <w:t> se suspenderá</w:t>
      </w:r>
      <w:r w:rsidRPr="00E37270">
        <w:rPr>
          <w:rFonts w:ascii="Arial" w:eastAsia="Times New Roman" w:hAnsi="Arial" w:cs="Arial"/>
          <w:color w:val="4D4D4D"/>
          <w:sz w:val="21"/>
          <w:szCs w:val="21"/>
          <w:lang w:eastAsia="es-ES"/>
        </w:rPr>
        <w:t> en caso el asegurado se retrase hasta 30 días en el pago de una cuota y se establece la continuidad de las preexistencias, de modo que </w:t>
      </w:r>
      <w:r w:rsidRPr="00E37270">
        <w:rPr>
          <w:rFonts w:ascii="Arial" w:eastAsia="Times New Roman" w:hAnsi="Arial" w:cs="Arial"/>
          <w:b/>
          <w:bCs/>
          <w:color w:val="4D4D4D"/>
          <w:sz w:val="21"/>
          <w:szCs w:val="21"/>
          <w:lang w:eastAsia="es-ES"/>
        </w:rPr>
        <w:t xml:space="preserve">no se pierda la cobertura de una </w:t>
      </w:r>
      <w:proofErr w:type="spellStart"/>
      <w:r w:rsidRPr="00E37270">
        <w:rPr>
          <w:rFonts w:ascii="Arial" w:eastAsia="Times New Roman" w:hAnsi="Arial" w:cs="Arial"/>
          <w:b/>
          <w:bCs/>
          <w:color w:val="4D4D4D"/>
          <w:sz w:val="21"/>
          <w:szCs w:val="21"/>
          <w:lang w:eastAsia="es-ES"/>
        </w:rPr>
        <w:t>enfermedad</w:t>
      </w:r>
      <w:r w:rsidRPr="00E37270">
        <w:rPr>
          <w:rFonts w:ascii="Arial" w:eastAsia="Times New Roman" w:hAnsi="Arial" w:cs="Arial"/>
          <w:color w:val="4D4D4D"/>
          <w:sz w:val="21"/>
          <w:szCs w:val="21"/>
          <w:lang w:eastAsia="es-ES"/>
        </w:rPr>
        <w:t>si</w:t>
      </w:r>
      <w:proofErr w:type="spellEnd"/>
      <w:r w:rsidRPr="00E37270">
        <w:rPr>
          <w:rFonts w:ascii="Arial" w:eastAsia="Times New Roman" w:hAnsi="Arial" w:cs="Arial"/>
          <w:color w:val="4D4D4D"/>
          <w:sz w:val="21"/>
          <w:szCs w:val="21"/>
          <w:lang w:eastAsia="es-ES"/>
        </w:rPr>
        <w:t xml:space="preserve"> cambia de compañía o migra a una EPS.</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t>Alfonso Núñez del Prado, abogado especialista en </w:t>
      </w:r>
      <w:hyperlink r:id="rId8" w:history="1">
        <w:r w:rsidRPr="00E37270">
          <w:rPr>
            <w:rFonts w:ascii="Arial" w:eastAsia="Times New Roman" w:hAnsi="Arial" w:cs="Arial"/>
            <w:color w:val="4D4D4D"/>
            <w:sz w:val="21"/>
            <w:szCs w:val="21"/>
            <w:u w:val="single"/>
            <w:lang w:eastAsia="es-ES"/>
          </w:rPr>
          <w:t>seguros</w:t>
        </w:r>
      </w:hyperlink>
      <w:r w:rsidRPr="00E37270">
        <w:rPr>
          <w:rFonts w:ascii="Arial" w:eastAsia="Times New Roman" w:hAnsi="Arial" w:cs="Arial"/>
          <w:color w:val="4D4D4D"/>
          <w:sz w:val="21"/>
          <w:szCs w:val="21"/>
          <w:lang w:eastAsia="es-ES"/>
        </w:rPr>
        <w:t> y uno de los expertos que participó en la elaboración de la norma en el Congreso, destacó que estos dos beneficios para los asegurados, junto con la </w:t>
      </w:r>
      <w:r w:rsidRPr="00E37270">
        <w:rPr>
          <w:rFonts w:ascii="Arial" w:eastAsia="Times New Roman" w:hAnsi="Arial" w:cs="Arial"/>
          <w:b/>
          <w:bCs/>
          <w:color w:val="4D4D4D"/>
          <w:sz w:val="21"/>
          <w:szCs w:val="21"/>
          <w:lang w:eastAsia="es-ES"/>
        </w:rPr>
        <w:t>eliminación de cláusulas ilegales</w:t>
      </w:r>
      <w:r w:rsidRPr="00E37270">
        <w:rPr>
          <w:rFonts w:ascii="Arial" w:eastAsia="Times New Roman" w:hAnsi="Arial" w:cs="Arial"/>
          <w:color w:val="4D4D4D"/>
          <w:sz w:val="21"/>
          <w:szCs w:val="21"/>
          <w:lang w:eastAsia="es-ES"/>
        </w:rPr>
        <w:t>, están entre los cambios más importantes que establece la nueva norma, </w:t>
      </w:r>
      <w:hyperlink r:id="rId9" w:history="1">
        <w:r w:rsidRPr="00E37270">
          <w:rPr>
            <w:rFonts w:ascii="Arial" w:eastAsia="Times New Roman" w:hAnsi="Arial" w:cs="Arial"/>
            <w:color w:val="4D4D4D"/>
            <w:sz w:val="21"/>
            <w:szCs w:val="21"/>
            <w:u w:val="single"/>
            <w:lang w:eastAsia="es-ES"/>
          </w:rPr>
          <w:t>promulgada ayer</w:t>
        </w:r>
      </w:hyperlink>
      <w:r w:rsidRPr="00E37270">
        <w:rPr>
          <w:rFonts w:ascii="Arial" w:eastAsia="Times New Roman" w:hAnsi="Arial" w:cs="Arial"/>
          <w:color w:val="4D4D4D"/>
          <w:sz w:val="21"/>
          <w:szCs w:val="21"/>
          <w:lang w:eastAsia="es-ES"/>
        </w:rPr>
        <w:t> por el </w:t>
      </w:r>
      <w:hyperlink r:id="rId10" w:history="1">
        <w:r w:rsidRPr="00E37270">
          <w:rPr>
            <w:rFonts w:ascii="Arial" w:eastAsia="Times New Roman" w:hAnsi="Arial" w:cs="Arial"/>
            <w:color w:val="4D4D4D"/>
            <w:sz w:val="21"/>
            <w:szCs w:val="21"/>
            <w:u w:val="single"/>
            <w:lang w:eastAsia="es-ES"/>
          </w:rPr>
          <w:t>Poder Ejecutivo</w:t>
        </w:r>
      </w:hyperlink>
      <w:r w:rsidRPr="00E37270">
        <w:rPr>
          <w:rFonts w:ascii="Arial" w:eastAsia="Times New Roman" w:hAnsi="Arial" w:cs="Arial"/>
          <w:color w:val="4D4D4D"/>
          <w:sz w:val="21"/>
          <w:szCs w:val="21"/>
          <w:lang w:eastAsia="es-ES"/>
        </w:rPr>
        <w:t> y que regula qué se puede incluir en este tipo de contratos.</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t>“Entre los principales beneficios tendríamos que ver que cuando uno se atrasa en el pago de una cuota, </w:t>
      </w:r>
      <w:r w:rsidRPr="00E37270">
        <w:rPr>
          <w:rFonts w:ascii="Arial" w:eastAsia="Times New Roman" w:hAnsi="Arial" w:cs="Arial"/>
          <w:b/>
          <w:bCs/>
          <w:color w:val="4D4D4D"/>
          <w:sz w:val="21"/>
          <w:szCs w:val="21"/>
          <w:lang w:eastAsia="es-ES"/>
        </w:rPr>
        <w:t>ya no se va a perder la cobertura automáticamente</w:t>
      </w:r>
      <w:r w:rsidRPr="00E37270">
        <w:rPr>
          <w:rFonts w:ascii="Arial" w:eastAsia="Times New Roman" w:hAnsi="Arial" w:cs="Arial"/>
          <w:color w:val="4D4D4D"/>
          <w:sz w:val="21"/>
          <w:szCs w:val="21"/>
          <w:lang w:eastAsia="es-ES"/>
        </w:rPr>
        <w:t>. El atraso sin perder cobertura son 30 días. A partir del día 31 y siempre que medie un aviso de la compañía de seguros, el asegurado perderá la cobertura. Esto trae como beneficio esencial que </w:t>
      </w:r>
      <w:r w:rsidRPr="00E37270">
        <w:rPr>
          <w:rFonts w:ascii="Arial" w:eastAsia="Times New Roman" w:hAnsi="Arial" w:cs="Arial"/>
          <w:b/>
          <w:bCs/>
          <w:color w:val="4D4D4D"/>
          <w:sz w:val="21"/>
          <w:szCs w:val="21"/>
          <w:lang w:eastAsia="es-ES"/>
        </w:rPr>
        <w:t>difícilmente se podrán cobrar primas por periodos en los que no se ha dado cobertura</w:t>
      </w:r>
      <w:r w:rsidRPr="00E37270">
        <w:rPr>
          <w:rFonts w:ascii="Arial" w:eastAsia="Times New Roman" w:hAnsi="Arial" w:cs="Arial"/>
          <w:color w:val="4D4D4D"/>
          <w:sz w:val="21"/>
          <w:szCs w:val="21"/>
          <w:lang w:eastAsia="es-ES"/>
        </w:rPr>
        <w:t>”, detalló.</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t>Efectivamente, según el experto, ahora las aseguradoras anulan la cobertura al día siguiente del pago pero no descuentan esos días del pago, de modo que los usuarios terminan pagando por un servicio que jamás recibieron.</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t xml:space="preserve">“Otra de las ventajas es que los siniestros promedio, que son la inmensa mayoría, el 90% o </w:t>
      </w:r>
      <w:proofErr w:type="spellStart"/>
      <w:r w:rsidRPr="00E37270">
        <w:rPr>
          <w:rFonts w:ascii="Arial" w:eastAsia="Times New Roman" w:hAnsi="Arial" w:cs="Arial"/>
          <w:color w:val="4D4D4D"/>
          <w:sz w:val="21"/>
          <w:szCs w:val="21"/>
          <w:lang w:eastAsia="es-ES"/>
        </w:rPr>
        <w:t>más</w:t>
      </w:r>
      <w:proofErr w:type="gramStart"/>
      <w:r w:rsidRPr="00E37270">
        <w:rPr>
          <w:rFonts w:ascii="Arial" w:eastAsia="Times New Roman" w:hAnsi="Arial" w:cs="Arial"/>
          <w:color w:val="4D4D4D"/>
          <w:sz w:val="21"/>
          <w:szCs w:val="21"/>
          <w:lang w:eastAsia="es-ES"/>
        </w:rPr>
        <w:t>,</w:t>
      </w:r>
      <w:r w:rsidRPr="00E37270">
        <w:rPr>
          <w:rFonts w:ascii="Arial" w:eastAsia="Times New Roman" w:hAnsi="Arial" w:cs="Arial"/>
          <w:b/>
          <w:bCs/>
          <w:color w:val="4D4D4D"/>
          <w:sz w:val="21"/>
          <w:szCs w:val="21"/>
          <w:lang w:eastAsia="es-ES"/>
        </w:rPr>
        <w:t>tienen</w:t>
      </w:r>
      <w:proofErr w:type="spellEnd"/>
      <w:proofErr w:type="gramEnd"/>
      <w:r w:rsidRPr="00E37270">
        <w:rPr>
          <w:rFonts w:ascii="Arial" w:eastAsia="Times New Roman" w:hAnsi="Arial" w:cs="Arial"/>
          <w:b/>
          <w:bCs/>
          <w:color w:val="4D4D4D"/>
          <w:sz w:val="21"/>
          <w:szCs w:val="21"/>
          <w:lang w:eastAsia="es-ES"/>
        </w:rPr>
        <w:t xml:space="preserve"> que ser liquidados en un plazo de 30 días</w:t>
      </w:r>
      <w:r w:rsidRPr="00E37270">
        <w:rPr>
          <w:rFonts w:ascii="Arial" w:eastAsia="Times New Roman" w:hAnsi="Arial" w:cs="Arial"/>
          <w:color w:val="4D4D4D"/>
          <w:sz w:val="21"/>
          <w:szCs w:val="21"/>
          <w:lang w:eastAsia="es-ES"/>
        </w:rPr>
        <w:t>. En los casos de siniestros complejos, tendrán que pedir un plazo adicional a la </w:t>
      </w:r>
      <w:hyperlink r:id="rId11" w:history="1">
        <w:r w:rsidRPr="00E37270">
          <w:rPr>
            <w:rFonts w:ascii="Arial" w:eastAsia="Times New Roman" w:hAnsi="Arial" w:cs="Arial"/>
            <w:color w:val="4D4D4D"/>
            <w:sz w:val="21"/>
            <w:szCs w:val="21"/>
            <w:u w:val="single"/>
            <w:lang w:eastAsia="es-ES"/>
          </w:rPr>
          <w:t>SBS</w:t>
        </w:r>
      </w:hyperlink>
      <w:r w:rsidRPr="00E37270">
        <w:rPr>
          <w:rFonts w:ascii="Arial" w:eastAsia="Times New Roman" w:hAnsi="Arial" w:cs="Arial"/>
          <w:color w:val="4D4D4D"/>
          <w:sz w:val="21"/>
          <w:szCs w:val="21"/>
          <w:lang w:eastAsia="es-ES"/>
        </w:rPr>
        <w:t> (Superintendencia de Banca, seguros y AFP) que evaluará si corresponde o no darlo”, indicó.</w:t>
      </w:r>
    </w:p>
    <w:p w:rsidR="00E37270" w:rsidRDefault="00E37270" w:rsidP="00E37270">
      <w:pPr>
        <w:shd w:val="clear" w:color="auto" w:fill="FFFFFF"/>
        <w:spacing w:after="300" w:line="273" w:lineRule="atLeast"/>
        <w:jc w:val="both"/>
        <w:rPr>
          <w:rFonts w:ascii="Arial" w:eastAsia="Times New Roman" w:hAnsi="Arial" w:cs="Arial"/>
          <w:b/>
          <w:bCs/>
          <w:color w:val="4D4D4D"/>
          <w:sz w:val="21"/>
          <w:szCs w:val="21"/>
          <w:lang w:eastAsia="es-ES"/>
        </w:rPr>
      </w:pPr>
      <w:r w:rsidRPr="00E37270">
        <w:rPr>
          <w:rFonts w:ascii="Arial" w:eastAsia="Times New Roman" w:hAnsi="Arial" w:cs="Arial"/>
          <w:b/>
          <w:bCs/>
          <w:color w:val="4D4D4D"/>
          <w:sz w:val="21"/>
          <w:szCs w:val="21"/>
          <w:lang w:eastAsia="es-ES"/>
        </w:rPr>
        <w:t>YA NO BORRÓN Y PÓLIZA NUEVA</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t>Destacó que la </w:t>
      </w:r>
      <w:r w:rsidRPr="00E37270">
        <w:rPr>
          <w:rFonts w:ascii="Arial" w:eastAsia="Times New Roman" w:hAnsi="Arial" w:cs="Arial"/>
          <w:b/>
          <w:bCs/>
          <w:color w:val="4D4D4D"/>
          <w:sz w:val="21"/>
          <w:szCs w:val="21"/>
          <w:lang w:eastAsia="es-ES"/>
        </w:rPr>
        <w:t>continuidad de las preexistencias</w:t>
      </w:r>
      <w:r w:rsidRPr="00E37270">
        <w:rPr>
          <w:rFonts w:ascii="Arial" w:eastAsia="Times New Roman" w:hAnsi="Arial" w:cs="Arial"/>
          <w:color w:val="4D4D4D"/>
          <w:sz w:val="21"/>
          <w:szCs w:val="21"/>
          <w:lang w:eastAsia="es-ES"/>
        </w:rPr>
        <w:t> será otra de los cambios que redundará en beneficios para los asegurados. Explicó que, antes de esta norma, cuando un cliente cambiaba de aseguradora, la nueva compañía </w:t>
      </w:r>
      <w:r w:rsidRPr="00E37270">
        <w:rPr>
          <w:rFonts w:ascii="Arial" w:eastAsia="Times New Roman" w:hAnsi="Arial" w:cs="Arial"/>
          <w:b/>
          <w:bCs/>
          <w:color w:val="4D4D4D"/>
          <w:sz w:val="21"/>
          <w:szCs w:val="21"/>
          <w:lang w:eastAsia="es-ES"/>
        </w:rPr>
        <w:t>excluía de la cobertura</w:t>
      </w:r>
      <w:r w:rsidRPr="00E37270">
        <w:rPr>
          <w:rFonts w:ascii="Arial" w:eastAsia="Times New Roman" w:hAnsi="Arial" w:cs="Arial"/>
          <w:color w:val="4D4D4D"/>
          <w:sz w:val="21"/>
          <w:szCs w:val="21"/>
          <w:lang w:eastAsia="es-ES"/>
        </w:rPr>
        <w:t> las enfermedades que hubiera adquirido durante el periodo que contrató a la anterior compañía, </w:t>
      </w:r>
      <w:r w:rsidRPr="00E37270">
        <w:rPr>
          <w:rFonts w:ascii="Arial" w:eastAsia="Times New Roman" w:hAnsi="Arial" w:cs="Arial"/>
          <w:b/>
          <w:bCs/>
          <w:color w:val="4D4D4D"/>
          <w:sz w:val="21"/>
          <w:szCs w:val="21"/>
          <w:lang w:eastAsia="es-ES"/>
        </w:rPr>
        <w:t>considerándola una enfermedad preexistente</w:t>
      </w:r>
      <w:r w:rsidRPr="00E37270">
        <w:rPr>
          <w:rFonts w:ascii="Arial" w:eastAsia="Times New Roman" w:hAnsi="Arial" w:cs="Arial"/>
          <w:color w:val="4D4D4D"/>
          <w:sz w:val="21"/>
          <w:szCs w:val="21"/>
          <w:lang w:eastAsia="es-ES"/>
        </w:rPr>
        <w:t>.</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t>“Lo que se ha establecido es una cobertura continuada siempre y cuando uno continúe estando asegurado, incluso cuando hay un cambio de compañía de seguro a una EPS o a la inversa, que ha sido una de las cosas a las que la gente se oponía”, señaló</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lastRenderedPageBreak/>
        <w:t>La norma, que entrará en vigencia en 180 días, ha sido criticada por la </w:t>
      </w:r>
      <w:hyperlink r:id="rId12" w:history="1">
        <w:r w:rsidRPr="00E37270">
          <w:rPr>
            <w:rFonts w:ascii="Arial" w:eastAsia="Times New Roman" w:hAnsi="Arial" w:cs="Arial"/>
            <w:color w:val="4D4D4D"/>
            <w:sz w:val="21"/>
            <w:szCs w:val="21"/>
            <w:u w:val="single"/>
            <w:lang w:eastAsia="es-ES"/>
          </w:rPr>
          <w:t>Asociación Peruana de Empresas de Seguros</w:t>
        </w:r>
      </w:hyperlink>
      <w:r w:rsidRPr="00E37270">
        <w:rPr>
          <w:rFonts w:ascii="Arial" w:eastAsia="Times New Roman" w:hAnsi="Arial" w:cs="Arial"/>
          <w:color w:val="4D4D4D"/>
          <w:sz w:val="21"/>
          <w:szCs w:val="21"/>
          <w:lang w:eastAsia="es-ES"/>
        </w:rPr>
        <w:t> (</w:t>
      </w:r>
      <w:proofErr w:type="spellStart"/>
      <w:r w:rsidRPr="00E37270">
        <w:rPr>
          <w:rFonts w:ascii="Arial" w:eastAsia="Times New Roman" w:hAnsi="Arial" w:cs="Arial"/>
          <w:color w:val="4D4D4D"/>
          <w:sz w:val="21"/>
          <w:szCs w:val="21"/>
          <w:lang w:eastAsia="es-ES"/>
        </w:rPr>
        <w:t>Apeseg</w:t>
      </w:r>
      <w:proofErr w:type="spellEnd"/>
      <w:r w:rsidRPr="00E37270">
        <w:rPr>
          <w:rFonts w:ascii="Arial" w:eastAsia="Times New Roman" w:hAnsi="Arial" w:cs="Arial"/>
          <w:color w:val="4D4D4D"/>
          <w:sz w:val="21"/>
          <w:szCs w:val="21"/>
          <w:lang w:eastAsia="es-ES"/>
        </w:rPr>
        <w:t>), quien asegura que incrementará sus costos y, por lo tanto, </w:t>
      </w:r>
      <w:r w:rsidRPr="00E37270">
        <w:rPr>
          <w:rFonts w:ascii="Arial" w:eastAsia="Times New Roman" w:hAnsi="Arial" w:cs="Arial"/>
          <w:b/>
          <w:bCs/>
          <w:color w:val="4D4D4D"/>
          <w:sz w:val="21"/>
          <w:szCs w:val="21"/>
          <w:lang w:eastAsia="es-ES"/>
        </w:rPr>
        <w:t>el precio de las pólizas de seguros.</w:t>
      </w:r>
    </w:p>
    <w:p w:rsidR="00E37270" w:rsidRPr="00E37270" w:rsidRDefault="00E37270" w:rsidP="00E37270">
      <w:pPr>
        <w:shd w:val="clear" w:color="auto" w:fill="FFFFFF"/>
        <w:spacing w:after="300" w:line="273" w:lineRule="atLeast"/>
        <w:jc w:val="both"/>
        <w:rPr>
          <w:rFonts w:ascii="Arial" w:eastAsia="Times New Roman" w:hAnsi="Arial" w:cs="Arial"/>
          <w:color w:val="4D4D4D"/>
          <w:sz w:val="21"/>
          <w:szCs w:val="21"/>
          <w:lang w:eastAsia="es-ES"/>
        </w:rPr>
      </w:pPr>
      <w:r w:rsidRPr="00E37270">
        <w:rPr>
          <w:rFonts w:ascii="Arial" w:eastAsia="Times New Roman" w:hAnsi="Arial" w:cs="Arial"/>
          <w:color w:val="4D4D4D"/>
          <w:sz w:val="21"/>
          <w:szCs w:val="21"/>
          <w:lang w:eastAsia="es-ES"/>
        </w:rPr>
        <w:t>“En el tema de costos, yo sí creo que es posible que haya un incremento en costos de seguro médico, pero muy pequeño, derivado de la cobertura de preexistencias. (…) Yo no creo que se eleven más del 5%”, finalizó.</w:t>
      </w:r>
    </w:p>
    <w:p w:rsidR="00E37270" w:rsidRPr="00E37270" w:rsidRDefault="00E37270" w:rsidP="00E37270">
      <w:pPr>
        <w:shd w:val="clear" w:color="auto" w:fill="FFFFFF"/>
        <w:spacing w:after="150" w:line="195" w:lineRule="atLeast"/>
        <w:outlineLvl w:val="3"/>
        <w:rPr>
          <w:rFonts w:ascii="prelobold" w:eastAsia="Times New Roman" w:hAnsi="prelobold" w:cs="Arial"/>
          <w:color w:val="666666"/>
          <w:sz w:val="20"/>
          <w:szCs w:val="20"/>
          <w:lang w:eastAsia="es-ES"/>
        </w:rPr>
      </w:pPr>
      <w:proofErr w:type="spellStart"/>
      <w:r w:rsidRPr="00E37270">
        <w:rPr>
          <w:rFonts w:ascii="prelobold" w:eastAsia="Times New Roman" w:hAnsi="prelobold" w:cs="Arial"/>
          <w:color w:val="666666"/>
          <w:sz w:val="20"/>
          <w:szCs w:val="20"/>
          <w:lang w:eastAsia="es-ES"/>
        </w:rPr>
        <w:t>Tags</w:t>
      </w:r>
      <w:proofErr w:type="spellEnd"/>
      <w:r w:rsidRPr="00E37270">
        <w:rPr>
          <w:rFonts w:ascii="prelobold" w:eastAsia="Times New Roman" w:hAnsi="prelobold" w:cs="Arial"/>
          <w:color w:val="666666"/>
          <w:sz w:val="20"/>
          <w:szCs w:val="20"/>
          <w:lang w:eastAsia="es-ES"/>
        </w:rPr>
        <w:t xml:space="preserve"> relacionados</w:t>
      </w:r>
    </w:p>
    <w:p w:rsidR="00E37270" w:rsidRPr="00E37270" w:rsidRDefault="00E37270" w:rsidP="00E37270">
      <w:pPr>
        <w:shd w:val="clear" w:color="auto" w:fill="FFFFFF"/>
        <w:spacing w:after="75" w:line="240" w:lineRule="auto"/>
        <w:ind w:right="75"/>
        <w:outlineLvl w:val="1"/>
        <w:rPr>
          <w:rFonts w:ascii="Arial" w:eastAsia="Times New Roman" w:hAnsi="Arial" w:cs="Arial"/>
          <w:color w:val="4D4D4D"/>
          <w:sz w:val="20"/>
          <w:szCs w:val="20"/>
          <w:lang w:eastAsia="es-ES"/>
        </w:rPr>
      </w:pPr>
      <w:hyperlink r:id="rId13" w:history="1">
        <w:r w:rsidRPr="00E37270">
          <w:rPr>
            <w:rFonts w:ascii="Arial" w:eastAsia="Times New Roman" w:hAnsi="Arial" w:cs="Arial"/>
            <w:color w:val="666666"/>
            <w:sz w:val="20"/>
            <w:szCs w:val="20"/>
            <w:u w:val="single"/>
            <w:shd w:val="clear" w:color="auto" w:fill="F3F3F3"/>
            <w:lang w:eastAsia="es-ES"/>
          </w:rPr>
          <w:t>Seguros</w:t>
        </w:r>
      </w:hyperlink>
    </w:p>
    <w:p w:rsidR="00E37270" w:rsidRPr="00E37270" w:rsidRDefault="00E37270" w:rsidP="00E37270">
      <w:pPr>
        <w:shd w:val="clear" w:color="auto" w:fill="FFFFFF"/>
        <w:spacing w:after="0" w:line="240" w:lineRule="auto"/>
        <w:rPr>
          <w:rFonts w:ascii="Arial" w:eastAsia="Times New Roman" w:hAnsi="Arial" w:cs="Arial"/>
          <w:color w:val="4D4D4D"/>
          <w:sz w:val="27"/>
          <w:szCs w:val="27"/>
          <w:lang w:eastAsia="es-ES"/>
        </w:rPr>
      </w:pPr>
      <w:r w:rsidRPr="00E37270">
        <w:rPr>
          <w:rFonts w:ascii="Arial" w:eastAsia="Times New Roman" w:hAnsi="Arial" w:cs="Arial"/>
          <w:color w:val="4D4D4D"/>
          <w:sz w:val="27"/>
          <w:szCs w:val="27"/>
          <w:lang w:eastAsia="es-ES"/>
        </w:rPr>
        <w:t> </w:t>
      </w:r>
    </w:p>
    <w:p w:rsidR="00E37270" w:rsidRPr="00E37270" w:rsidRDefault="00E37270" w:rsidP="00E37270">
      <w:pPr>
        <w:shd w:val="clear" w:color="auto" w:fill="FFFFFF"/>
        <w:spacing w:after="75" w:line="240" w:lineRule="auto"/>
        <w:ind w:right="75"/>
        <w:outlineLvl w:val="1"/>
        <w:rPr>
          <w:rFonts w:ascii="Arial" w:eastAsia="Times New Roman" w:hAnsi="Arial" w:cs="Arial"/>
          <w:color w:val="4D4D4D"/>
          <w:sz w:val="20"/>
          <w:szCs w:val="20"/>
          <w:lang w:eastAsia="es-ES"/>
        </w:rPr>
      </w:pPr>
      <w:hyperlink r:id="rId14" w:history="1">
        <w:r w:rsidRPr="00E37270">
          <w:rPr>
            <w:rFonts w:ascii="Arial" w:eastAsia="Times New Roman" w:hAnsi="Arial" w:cs="Arial"/>
            <w:color w:val="666666"/>
            <w:sz w:val="20"/>
            <w:szCs w:val="20"/>
            <w:u w:val="single"/>
            <w:shd w:val="clear" w:color="auto" w:fill="F3F3F3"/>
            <w:lang w:eastAsia="es-ES"/>
          </w:rPr>
          <w:t>Poder Ejecutivo</w:t>
        </w:r>
      </w:hyperlink>
    </w:p>
    <w:p w:rsidR="00E37270" w:rsidRPr="00E37270" w:rsidRDefault="00E37270" w:rsidP="00E37270">
      <w:pPr>
        <w:shd w:val="clear" w:color="auto" w:fill="FFFFFF"/>
        <w:spacing w:after="0" w:line="240" w:lineRule="auto"/>
        <w:rPr>
          <w:rFonts w:ascii="Arial" w:eastAsia="Times New Roman" w:hAnsi="Arial" w:cs="Arial"/>
          <w:color w:val="4D4D4D"/>
          <w:sz w:val="27"/>
          <w:szCs w:val="27"/>
          <w:lang w:eastAsia="es-ES"/>
        </w:rPr>
      </w:pPr>
      <w:r w:rsidRPr="00E37270">
        <w:rPr>
          <w:rFonts w:ascii="Arial" w:eastAsia="Times New Roman" w:hAnsi="Arial" w:cs="Arial"/>
          <w:color w:val="4D4D4D"/>
          <w:sz w:val="27"/>
          <w:szCs w:val="27"/>
          <w:lang w:eastAsia="es-ES"/>
        </w:rPr>
        <w:t> </w:t>
      </w:r>
    </w:p>
    <w:p w:rsidR="00E37270" w:rsidRPr="00E37270" w:rsidRDefault="00E37270" w:rsidP="00E37270">
      <w:pPr>
        <w:shd w:val="clear" w:color="auto" w:fill="FFFFFF"/>
        <w:spacing w:after="75" w:line="240" w:lineRule="auto"/>
        <w:ind w:right="75"/>
        <w:outlineLvl w:val="1"/>
        <w:rPr>
          <w:rFonts w:ascii="Arial" w:eastAsia="Times New Roman" w:hAnsi="Arial" w:cs="Arial"/>
          <w:color w:val="4D4D4D"/>
          <w:sz w:val="20"/>
          <w:szCs w:val="20"/>
          <w:lang w:eastAsia="es-ES"/>
        </w:rPr>
      </w:pPr>
      <w:hyperlink r:id="rId15" w:history="1">
        <w:r w:rsidRPr="00E37270">
          <w:rPr>
            <w:rFonts w:ascii="Arial" w:eastAsia="Times New Roman" w:hAnsi="Arial" w:cs="Arial"/>
            <w:color w:val="666666"/>
            <w:sz w:val="20"/>
            <w:szCs w:val="20"/>
            <w:u w:val="single"/>
            <w:shd w:val="clear" w:color="auto" w:fill="F3F3F3"/>
            <w:lang w:eastAsia="es-ES"/>
          </w:rPr>
          <w:t>Superintendencia de Banca Seguros y AFP</w:t>
        </w:r>
      </w:hyperlink>
    </w:p>
    <w:p w:rsidR="00E37270" w:rsidRPr="00E37270" w:rsidRDefault="00E37270" w:rsidP="00E37270">
      <w:pPr>
        <w:shd w:val="clear" w:color="auto" w:fill="FFFFFF"/>
        <w:spacing w:after="0" w:line="240" w:lineRule="auto"/>
        <w:rPr>
          <w:rFonts w:ascii="Arial" w:eastAsia="Times New Roman" w:hAnsi="Arial" w:cs="Arial"/>
          <w:color w:val="4D4D4D"/>
          <w:sz w:val="27"/>
          <w:szCs w:val="27"/>
          <w:lang w:eastAsia="es-ES"/>
        </w:rPr>
      </w:pPr>
      <w:r w:rsidRPr="00E37270">
        <w:rPr>
          <w:rFonts w:ascii="Arial" w:eastAsia="Times New Roman" w:hAnsi="Arial" w:cs="Arial"/>
          <w:color w:val="4D4D4D"/>
          <w:sz w:val="27"/>
          <w:szCs w:val="27"/>
          <w:lang w:eastAsia="es-ES"/>
        </w:rPr>
        <w:t> </w:t>
      </w:r>
    </w:p>
    <w:p w:rsidR="00E37270" w:rsidRPr="00E37270" w:rsidRDefault="00E37270" w:rsidP="00E37270">
      <w:pPr>
        <w:shd w:val="clear" w:color="auto" w:fill="FFFFFF"/>
        <w:spacing w:after="75" w:line="240" w:lineRule="auto"/>
        <w:ind w:right="75"/>
        <w:outlineLvl w:val="1"/>
        <w:rPr>
          <w:rFonts w:ascii="Arial" w:eastAsia="Times New Roman" w:hAnsi="Arial" w:cs="Arial"/>
          <w:color w:val="4D4D4D"/>
          <w:sz w:val="20"/>
          <w:szCs w:val="20"/>
          <w:lang w:eastAsia="es-ES"/>
        </w:rPr>
      </w:pPr>
      <w:hyperlink r:id="rId16" w:history="1">
        <w:proofErr w:type="spellStart"/>
        <w:r w:rsidRPr="00E37270">
          <w:rPr>
            <w:rFonts w:ascii="Arial" w:eastAsia="Times New Roman" w:hAnsi="Arial" w:cs="Arial"/>
            <w:color w:val="666666"/>
            <w:sz w:val="20"/>
            <w:szCs w:val="20"/>
            <w:u w:val="single"/>
            <w:shd w:val="clear" w:color="auto" w:fill="F3F3F3"/>
            <w:lang w:eastAsia="es-ES"/>
          </w:rPr>
          <w:t>Apeseg</w:t>
        </w:r>
        <w:proofErr w:type="spellEnd"/>
      </w:hyperlink>
    </w:p>
    <w:p w:rsidR="00E37270" w:rsidRPr="00E37270" w:rsidRDefault="00E37270" w:rsidP="00E37270">
      <w:pPr>
        <w:shd w:val="clear" w:color="auto" w:fill="FFFFFF"/>
        <w:spacing w:after="75" w:line="240" w:lineRule="auto"/>
        <w:ind w:right="75"/>
        <w:outlineLvl w:val="1"/>
        <w:rPr>
          <w:rFonts w:ascii="Arial" w:eastAsia="Times New Roman" w:hAnsi="Arial" w:cs="Arial"/>
          <w:color w:val="4D4D4D"/>
          <w:sz w:val="20"/>
          <w:szCs w:val="20"/>
          <w:lang w:eastAsia="es-ES"/>
        </w:rPr>
      </w:pPr>
      <w:hyperlink r:id="rId17" w:history="1">
        <w:r w:rsidRPr="00E37270">
          <w:rPr>
            <w:rFonts w:ascii="Arial" w:eastAsia="Times New Roman" w:hAnsi="Arial" w:cs="Arial"/>
            <w:color w:val="666666"/>
            <w:sz w:val="20"/>
            <w:szCs w:val="20"/>
            <w:u w:val="single"/>
            <w:shd w:val="clear" w:color="auto" w:fill="F3F3F3"/>
            <w:lang w:eastAsia="es-ES"/>
          </w:rPr>
          <w:t>Ley del Contrato de Seguro</w:t>
        </w:r>
      </w:hyperlink>
    </w:p>
    <w:p w:rsidR="00E37270" w:rsidRPr="00E37270" w:rsidRDefault="00E37270" w:rsidP="00E37270">
      <w:pPr>
        <w:shd w:val="clear" w:color="auto" w:fill="FFFFFF"/>
        <w:spacing w:after="0" w:line="240" w:lineRule="auto"/>
        <w:rPr>
          <w:rFonts w:ascii="Arial" w:eastAsia="Times New Roman" w:hAnsi="Arial" w:cs="Arial"/>
          <w:color w:val="4D4D4D"/>
          <w:sz w:val="27"/>
          <w:szCs w:val="27"/>
          <w:lang w:eastAsia="es-ES"/>
        </w:rPr>
      </w:pPr>
      <w:r w:rsidRPr="00E37270">
        <w:rPr>
          <w:rFonts w:ascii="Arial" w:eastAsia="Times New Roman" w:hAnsi="Arial" w:cs="Arial"/>
          <w:color w:val="4D4D4D"/>
          <w:sz w:val="27"/>
          <w:szCs w:val="27"/>
          <w:lang w:eastAsia="es-ES"/>
        </w:rPr>
        <w:t> </w:t>
      </w:r>
    </w:p>
    <w:p w:rsidR="00E37270" w:rsidRPr="00E37270" w:rsidRDefault="00E37270" w:rsidP="00E37270">
      <w:pPr>
        <w:shd w:val="clear" w:color="auto" w:fill="FFFFFF"/>
        <w:spacing w:line="240" w:lineRule="auto"/>
        <w:ind w:right="75"/>
        <w:outlineLvl w:val="1"/>
        <w:rPr>
          <w:rFonts w:ascii="Arial" w:eastAsia="Times New Roman" w:hAnsi="Arial" w:cs="Arial"/>
          <w:color w:val="4D4D4D"/>
          <w:sz w:val="20"/>
          <w:szCs w:val="20"/>
          <w:lang w:eastAsia="es-ES"/>
        </w:rPr>
      </w:pPr>
      <w:hyperlink r:id="rId18" w:history="1">
        <w:r w:rsidRPr="00E37270">
          <w:rPr>
            <w:rFonts w:ascii="Arial" w:eastAsia="Times New Roman" w:hAnsi="Arial" w:cs="Arial"/>
            <w:color w:val="666666"/>
            <w:sz w:val="20"/>
            <w:szCs w:val="20"/>
            <w:u w:val="single"/>
            <w:shd w:val="clear" w:color="auto" w:fill="F3F3F3"/>
            <w:lang w:eastAsia="es-ES"/>
          </w:rPr>
          <w:t>Sector asegurador</w:t>
        </w:r>
      </w:hyperlink>
    </w:p>
    <w:p w:rsidR="0080462D" w:rsidRDefault="0080462D"/>
    <w:sectPr w:rsidR="008046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osa_headlineblack">
    <w:altName w:val="Times New Roman"/>
    <w:panose1 w:val="00000000000000000000"/>
    <w:charset w:val="00"/>
    <w:family w:val="roman"/>
    <w:notTrueType/>
    <w:pitch w:val="default"/>
  </w:font>
  <w:font w:name="prelo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prel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7370"/>
    <w:multiLevelType w:val="multilevel"/>
    <w:tmpl w:val="A6E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64EAB"/>
    <w:multiLevelType w:val="multilevel"/>
    <w:tmpl w:val="92BE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70"/>
    <w:rsid w:val="0080462D"/>
    <w:rsid w:val="00D429EF"/>
    <w:rsid w:val="00E37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F4C05-B4FD-45B6-BBB9-A2567A89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37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37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E3727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27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37270"/>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E37270"/>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E37270"/>
  </w:style>
  <w:style w:type="character" w:styleId="Hipervnculo">
    <w:name w:val="Hyperlink"/>
    <w:basedOn w:val="Fuentedeprrafopredeter"/>
    <w:uiPriority w:val="99"/>
    <w:semiHidden/>
    <w:unhideWhenUsed/>
    <w:rsid w:val="00E37270"/>
    <w:rPr>
      <w:color w:val="0000FF"/>
      <w:u w:val="single"/>
    </w:rPr>
  </w:style>
  <w:style w:type="paragraph" w:styleId="NormalWeb">
    <w:name w:val="Normal (Web)"/>
    <w:basedOn w:val="Normal"/>
    <w:uiPriority w:val="99"/>
    <w:semiHidden/>
    <w:unhideWhenUsed/>
    <w:rsid w:val="00E372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37270"/>
    <w:rPr>
      <w:b/>
      <w:bCs/>
    </w:rPr>
  </w:style>
  <w:style w:type="character" w:customStyle="1" w:styleId="caps">
    <w:name w:val="caps"/>
    <w:basedOn w:val="Fuentedeprrafopredeter"/>
    <w:rsid w:val="00E37270"/>
  </w:style>
  <w:style w:type="character" w:customStyle="1" w:styleId="googqs-tidbit">
    <w:name w:val="goog_qs-tidbit"/>
    <w:basedOn w:val="Fuentedeprrafopredeter"/>
    <w:rsid w:val="00E3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2141">
      <w:bodyDiv w:val="1"/>
      <w:marLeft w:val="0"/>
      <w:marRight w:val="0"/>
      <w:marTop w:val="0"/>
      <w:marBottom w:val="0"/>
      <w:divBdr>
        <w:top w:val="none" w:sz="0" w:space="0" w:color="auto"/>
        <w:left w:val="none" w:sz="0" w:space="0" w:color="auto"/>
        <w:bottom w:val="none" w:sz="0" w:space="0" w:color="auto"/>
        <w:right w:val="none" w:sz="0" w:space="0" w:color="auto"/>
      </w:divBdr>
      <w:divsChild>
        <w:div w:id="1141311519">
          <w:marLeft w:val="0"/>
          <w:marRight w:val="0"/>
          <w:marTop w:val="0"/>
          <w:marBottom w:val="150"/>
          <w:divBdr>
            <w:top w:val="none" w:sz="0" w:space="0" w:color="auto"/>
            <w:left w:val="none" w:sz="0" w:space="0" w:color="auto"/>
            <w:bottom w:val="none" w:sz="0" w:space="0" w:color="auto"/>
            <w:right w:val="none" w:sz="0" w:space="0" w:color="auto"/>
          </w:divBdr>
          <w:divsChild>
            <w:div w:id="1256085899">
              <w:marLeft w:val="0"/>
              <w:marRight w:val="0"/>
              <w:marTop w:val="0"/>
              <w:marBottom w:val="0"/>
              <w:divBdr>
                <w:top w:val="none" w:sz="0" w:space="0" w:color="auto"/>
                <w:left w:val="none" w:sz="0" w:space="0" w:color="auto"/>
                <w:bottom w:val="none" w:sz="0" w:space="0" w:color="auto"/>
                <w:right w:val="none" w:sz="0" w:space="0" w:color="auto"/>
              </w:divBdr>
            </w:div>
          </w:divsChild>
        </w:div>
        <w:div w:id="1423141788">
          <w:marLeft w:val="0"/>
          <w:marRight w:val="0"/>
          <w:marTop w:val="0"/>
          <w:marBottom w:val="0"/>
          <w:divBdr>
            <w:top w:val="none" w:sz="0" w:space="0" w:color="auto"/>
            <w:left w:val="none" w:sz="0" w:space="0" w:color="auto"/>
            <w:bottom w:val="none" w:sz="0" w:space="0" w:color="auto"/>
            <w:right w:val="none" w:sz="0" w:space="0" w:color="auto"/>
          </w:divBdr>
          <w:divsChild>
            <w:div w:id="1240755003">
              <w:marLeft w:val="0"/>
              <w:marRight w:val="0"/>
              <w:marTop w:val="0"/>
              <w:marBottom w:val="0"/>
              <w:divBdr>
                <w:top w:val="none" w:sz="0" w:space="0" w:color="auto"/>
                <w:left w:val="none" w:sz="0" w:space="0" w:color="auto"/>
                <w:bottom w:val="none" w:sz="0" w:space="0" w:color="auto"/>
                <w:right w:val="none" w:sz="0" w:space="0" w:color="auto"/>
              </w:divBdr>
              <w:divsChild>
                <w:div w:id="483161195">
                  <w:marLeft w:val="0"/>
                  <w:marRight w:val="0"/>
                  <w:marTop w:val="0"/>
                  <w:marBottom w:val="0"/>
                  <w:divBdr>
                    <w:top w:val="none" w:sz="0" w:space="0" w:color="auto"/>
                    <w:left w:val="none" w:sz="0" w:space="0" w:color="auto"/>
                    <w:bottom w:val="none" w:sz="0" w:space="0" w:color="auto"/>
                    <w:right w:val="none" w:sz="0" w:space="0" w:color="auto"/>
                  </w:divBdr>
                  <w:divsChild>
                    <w:div w:id="54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86703">
          <w:marLeft w:val="0"/>
          <w:marRight w:val="0"/>
          <w:marTop w:val="0"/>
          <w:marBottom w:val="300"/>
          <w:divBdr>
            <w:top w:val="none" w:sz="0" w:space="0" w:color="auto"/>
            <w:left w:val="none" w:sz="0" w:space="0" w:color="auto"/>
            <w:bottom w:val="none" w:sz="0" w:space="0" w:color="auto"/>
            <w:right w:val="none" w:sz="0" w:space="0" w:color="auto"/>
          </w:divBdr>
          <w:divsChild>
            <w:div w:id="1660503370">
              <w:marLeft w:val="0"/>
              <w:marRight w:val="0"/>
              <w:marTop w:val="0"/>
              <w:marBottom w:val="0"/>
              <w:divBdr>
                <w:top w:val="none" w:sz="0" w:space="0" w:color="auto"/>
                <w:left w:val="none" w:sz="0" w:space="0" w:color="auto"/>
                <w:bottom w:val="none" w:sz="0" w:space="0" w:color="auto"/>
                <w:right w:val="none" w:sz="0" w:space="0" w:color="auto"/>
              </w:divBdr>
              <w:divsChild>
                <w:div w:id="1488009297">
                  <w:marLeft w:val="0"/>
                  <w:marRight w:val="0"/>
                  <w:marTop w:val="0"/>
                  <w:marBottom w:val="0"/>
                  <w:divBdr>
                    <w:top w:val="none" w:sz="0" w:space="0" w:color="auto"/>
                    <w:left w:val="none" w:sz="0" w:space="0" w:color="auto"/>
                    <w:bottom w:val="none" w:sz="0" w:space="0" w:color="auto"/>
                    <w:right w:val="none" w:sz="0" w:space="0" w:color="auto"/>
                  </w:divBdr>
                </w:div>
                <w:div w:id="610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comercio.pe/tag/408202/sector-asegurador" TargetMode="External"/><Relationship Id="rId13" Type="http://schemas.openxmlformats.org/officeDocument/2006/relationships/hyperlink" Target="http://elcomercio.pe/noticias/seguros-522834" TargetMode="External"/><Relationship Id="rId18" Type="http://schemas.openxmlformats.org/officeDocument/2006/relationships/hyperlink" Target="http://elcomercio.pe/noticias/sector-asegurador-408236" TargetMode="External"/><Relationship Id="rId3" Type="http://schemas.openxmlformats.org/officeDocument/2006/relationships/settings" Target="settings.xml"/><Relationship Id="rId7" Type="http://schemas.openxmlformats.org/officeDocument/2006/relationships/hyperlink" Target="http://elcomercio.pe/tag/408201/ley-del-contrato-de-seguro" TargetMode="External"/><Relationship Id="rId12" Type="http://schemas.openxmlformats.org/officeDocument/2006/relationships/hyperlink" Target="http://elcomercio.pe/tag/294001/apeseg" TargetMode="External"/><Relationship Id="rId17" Type="http://schemas.openxmlformats.org/officeDocument/2006/relationships/hyperlink" Target="http://elcomercio.pe/noticias/ley-contrato-seguro-408201" TargetMode="External"/><Relationship Id="rId2" Type="http://schemas.openxmlformats.org/officeDocument/2006/relationships/styles" Target="styles.xml"/><Relationship Id="rId16" Type="http://schemas.openxmlformats.org/officeDocument/2006/relationships/hyperlink" Target="http://elcomercio.pe/noticias/apeseg-2940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comercio.pe/economia/peru/cuales-son-beneficios-nueva-ley-seguros-noticia-1502724" TargetMode="External"/><Relationship Id="rId11" Type="http://schemas.openxmlformats.org/officeDocument/2006/relationships/hyperlink" Target="http://elcomercio.pe/tag/7478/SBS" TargetMode="External"/><Relationship Id="rId5" Type="http://schemas.openxmlformats.org/officeDocument/2006/relationships/hyperlink" Target="http://elcomercio.pe/tag/408201/ley-del-contrato-de-seguro" TargetMode="External"/><Relationship Id="rId15" Type="http://schemas.openxmlformats.org/officeDocument/2006/relationships/hyperlink" Target="http://elcomercio.pe/noticias/superintendencia-banca-seguros-afp-162331" TargetMode="External"/><Relationship Id="rId10" Type="http://schemas.openxmlformats.org/officeDocument/2006/relationships/hyperlink" Target="http://elcomercio.pe/tag/61640/poder-ejecutiv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lcomercio.pe/economia/1502256/noticia-ejecutivo-promulgo-ley-contrato-seguros" TargetMode="External"/><Relationship Id="rId14" Type="http://schemas.openxmlformats.org/officeDocument/2006/relationships/hyperlink" Target="http://elcomercio.pe/noticias/poder-ejecutivo-5149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3586</Characters>
  <Application>Microsoft Office Word</Application>
  <DocSecurity>0</DocSecurity>
  <Lines>29</Lines>
  <Paragraphs>8</Paragraphs>
  <ScaleCrop>false</ScaleCrop>
  <Company>company</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Yónel Chocano Figueroa</dc:creator>
  <cp:keywords/>
  <dc:description/>
  <cp:lastModifiedBy>Yónel Chocano Figueroa</cp:lastModifiedBy>
  <cp:revision>1</cp:revision>
  <dcterms:created xsi:type="dcterms:W3CDTF">2015-04-29T14:19:00Z</dcterms:created>
  <dcterms:modified xsi:type="dcterms:W3CDTF">2015-04-29T14:23:00Z</dcterms:modified>
</cp:coreProperties>
</file>