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B0" w:rsidRPr="004B3FB0" w:rsidRDefault="004B3FB0" w:rsidP="00AF6244">
      <w:pPr>
        <w:spacing w:before="158" w:after="158" w:line="240" w:lineRule="auto"/>
        <w:outlineLvl w:val="0"/>
        <w:rPr>
          <w:rFonts w:ascii="inherit" w:eastAsia="Times New Roman" w:hAnsi="inherit" w:cs="Arial"/>
          <w:color w:val="333333"/>
          <w:kern w:val="36"/>
          <w:sz w:val="45"/>
          <w:szCs w:val="45"/>
          <w:lang w:eastAsia="es-ES"/>
        </w:rPr>
      </w:pPr>
      <w:r w:rsidRPr="004B3FB0">
        <w:rPr>
          <w:rFonts w:ascii="inherit" w:eastAsia="Times New Roman" w:hAnsi="inherit" w:cs="Arial"/>
          <w:color w:val="333333"/>
          <w:kern w:val="36"/>
          <w:sz w:val="45"/>
          <w:szCs w:val="45"/>
          <w:lang w:eastAsia="es-ES"/>
        </w:rPr>
        <w:t>Capital mínimo</w:t>
      </w:r>
      <w:r>
        <w:rPr>
          <w:rFonts w:ascii="inherit" w:eastAsia="Times New Roman" w:hAnsi="inherit" w:cs="Arial"/>
          <w:color w:val="333333"/>
          <w:kern w:val="36"/>
          <w:sz w:val="45"/>
          <w:szCs w:val="45"/>
          <w:lang w:eastAsia="es-ES"/>
        </w:rPr>
        <w:t xml:space="preserve"> para aperturar entidades </w:t>
      </w:r>
      <w:r w:rsidRPr="004B3FB0">
        <w:rPr>
          <w:rFonts w:ascii="inherit" w:eastAsia="Times New Roman" w:hAnsi="inherit" w:cs="Arial"/>
          <w:color w:val="333333"/>
          <w:kern w:val="36"/>
          <w:sz w:val="45"/>
          <w:szCs w:val="45"/>
          <w:lang w:eastAsia="es-ES"/>
        </w:rPr>
        <w:t>financieras</w:t>
      </w:r>
      <w:r w:rsidR="00AF6244">
        <w:rPr>
          <w:rFonts w:ascii="inherit" w:eastAsia="Times New Roman" w:hAnsi="inherit" w:cs="Arial"/>
          <w:color w:val="333333"/>
          <w:kern w:val="36"/>
          <w:sz w:val="45"/>
          <w:szCs w:val="45"/>
          <w:lang w:eastAsia="es-ES"/>
        </w:rPr>
        <w:t xml:space="preserve">  </w:t>
      </w:r>
      <w:r w:rsidR="00AF6244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23/5/2014</w:t>
      </w:r>
      <w:bookmarkStart w:id="0" w:name="_GoBack"/>
      <w:bookmarkEnd w:id="0"/>
    </w:p>
    <w:p w:rsidR="004B3FB0" w:rsidRPr="004B3FB0" w:rsidRDefault="004B3FB0" w:rsidP="004B3FB0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Artículo 16º.- CAPITAL MÍNIMO.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Para el funcionamiento de las empresas y sus subsidiarias, se requiere que</w:t>
      </w: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el capital social, aportado en 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efectivo, alcance las siguientes cantidades mínimas: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A. Empresas de Operaciones Múltiples: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1. Empresa Bancaria: S/. </w:t>
      </w:r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>14 914 000,00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>* BBVA Banco Continental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 xml:space="preserve">* Banco de </w:t>
      </w:r>
      <w:proofErr w:type="spellStart"/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>Credito</w:t>
      </w:r>
      <w:proofErr w:type="spellEnd"/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 xml:space="preserve"> del </w:t>
      </w:r>
      <w:proofErr w:type="spellStart"/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>Peru</w:t>
      </w:r>
      <w:proofErr w:type="spellEnd"/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000000"/>
          <w:sz w:val="23"/>
          <w:szCs w:val="23"/>
          <w:shd w:val="clear" w:color="auto" w:fill="FFFFDD"/>
          <w:lang w:eastAsia="es-ES"/>
        </w:rPr>
        <w:t>2.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 Empresa Financiera: S/. 7 500 000,00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 xml:space="preserve">* </w:t>
      </w:r>
      <w:proofErr w:type="spellStart"/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Crediscotia</w:t>
      </w:r>
      <w:proofErr w:type="spellEnd"/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Financiera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Financiera Confianza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3. Caja Municipal de Ahorro y Crédito: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CMAC DEL SANTA S.A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CMAC CUSCO S.A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4. Caja Municipal de Crédito Popular: S/. 4 000 000,00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CAJA METROPOLITANA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5. Entidad de Desarrollo a la Pequeña y Micro Empresa - EDPYME: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 xml:space="preserve">* </w:t>
      </w:r>
      <w:proofErr w:type="spellStart"/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Edpyme</w:t>
      </w:r>
      <w:proofErr w:type="spellEnd"/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CREDIVISION S.A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ACCESO CREDITICIO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6. Cooperativas de Ahorro y Crédito autorizadas a captar recursos del público: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Cooperativa de Ahorro y Crédito Luz y Fuerza “CREDICOOP”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7. Caja Rural de Ahorro y Crédito: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NUESTRA GENTE S.A.A.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PROFINANZAS S.A.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B. Empresas Especializadas: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1. Empresas de</w:t>
      </w:r>
      <w:r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Capitalización Inmobiliaria: S/. 7 500 000,00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AF6244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Inmobiliaria Centenario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Empresas de Arrendamiento Financiero: S/. 2 440 000,00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Leasing Total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Leasing Perú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 Empresas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Factoring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S/. 1 356 000,00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America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Factoring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 Empresas Afianzadora y de Garantías: S/. 1 356 000,00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* Fundación Fondo de Garantía para Préstamos a la Pequeña Industria - FOGAPI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 Empresas de Servicios Fiduciarios: S/. 1 356 000,00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LA FIDUCIARIA S.A.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Fiduperú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 Empresas Administradora Hipotecaria S/. 3 400 000,00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Incasa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Solución Empresa Administradora Hipotecaria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C. Bancos de Inversión: S/. 14 914 000,00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D. Empresas de Seguros: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Empresa que opera en un solo ramo (de riesgos </w:t>
      </w:r>
      <w:r w:rsidR="00AF624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generales o de vida): S/. 2 712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Protecta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Compañía de Seguros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Empresa que opera en ambos ramos (de riesgos generales y de vida): S/. 3 728 000,00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INTERSEGURO Compañía de Seguros S.A.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 Empresa de Seguros y de Reaseguros: S/. 9 491 000,00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LA POSITIVA  Seguros y Reaseguros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* PACIFICO PERUANO SUIZA Compañía de Seguros y</w:t>
      </w:r>
      <w:r w:rsidRPr="004B3FB0">
        <w:rPr>
          <w:rFonts w:ascii="Arial" w:hAnsi="Arial" w:cs="Arial"/>
          <w:color w:val="333333"/>
          <w:sz w:val="23"/>
          <w:szCs w:val="23"/>
        </w:rPr>
        <w:t xml:space="preserve"> 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Reaseguros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4. Empresa de Reaseguros: S/. 5 763 000,00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Artículo 17º.- CAPITAL MÍNIMO DE EMPRESAS DE SERVICIOS CO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MPLEMENTARIOS Y 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CONEXOS. 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Para el establecimiento de las empresas de servicios complementario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t xml:space="preserve">s y conexos, se requiere que el 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capital social alcance las siguientes cantidades mínimas: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1. Almacén General de Depósito: S/. 2 440 000,00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Almacenera del Perú S.A. ALMAPERU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Al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macenes financieros SA -ALMAFIN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2. Empresa de Transporte, Custodia y Administración de Numerario: S/. 10 000 000,00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HERMES TRANSPORTES BLINDADOS S.A.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CIA. DE SEGURIDAD PROSEGUR S.A. PROSEGUR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3. Empresa Emisora de Tarjetas de Crédito y/o de Débito: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 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4. Empresa de Servicios de Canje: S/. 678 000,00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Cámara d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 Compensación Electrónica S.A.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 xml:space="preserve">5. Empresa de Transferencia de Fondos: S/. 678 000,00 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DHL EXPRESS P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t>ERÚ S.A.C.</w:t>
      </w:r>
      <w:r w:rsidR="00AF6244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* UNIÓN EXPRESS S.A.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http://www.sbs.gob.pe/repositorioaps/0/0/jer/regu_leygralbancseguro/2011/Ley26702_18-01-2011.pdf</w:t>
      </w:r>
      <w:r w:rsidRPr="004B3FB0">
        <w:rPr>
          <w:rFonts w:ascii="Arial" w:eastAsia="Times New Roman" w:hAnsi="Arial" w:cs="Arial"/>
          <w:color w:val="333333"/>
          <w:sz w:val="23"/>
          <w:szCs w:val="23"/>
          <w:lang w:eastAsia="es-ES"/>
        </w:rPr>
        <w:br/>
        <w:t>http://www.sbs.gob.pe/0/modulos/JER/JER_Interna.aspx?ARE=0&amp;PFL=1&amp;JER=292</w:t>
      </w:r>
    </w:p>
    <w:p w:rsidR="0080462D" w:rsidRDefault="0080462D" w:rsidP="004B3FB0">
      <w:pPr>
        <w:ind w:right="-285"/>
      </w:pPr>
    </w:p>
    <w:sectPr w:rsidR="0080462D" w:rsidSect="004B3FB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93D"/>
    <w:multiLevelType w:val="multilevel"/>
    <w:tmpl w:val="D6E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0"/>
    <w:rsid w:val="004B3FB0"/>
    <w:rsid w:val="0080462D"/>
    <w:rsid w:val="00AF6244"/>
    <w:rsid w:val="00D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27BC-8918-457A-B394-7715559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B3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F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3FB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B3FB0"/>
  </w:style>
  <w:style w:type="character" w:customStyle="1" w:styleId="page-total">
    <w:name w:val="page-total"/>
    <w:basedOn w:val="Fuentedeprrafopredeter"/>
    <w:rsid w:val="004B3FB0"/>
  </w:style>
  <w:style w:type="character" w:customStyle="1" w:styleId="googqs-tidbit">
    <w:name w:val="goog_qs-tidbit"/>
    <w:basedOn w:val="Fuentedeprrafopredeter"/>
    <w:rsid w:val="004B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8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3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2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96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Yónel Chocano Figueroa</dc:creator>
  <cp:keywords/>
  <dc:description/>
  <cp:lastModifiedBy>Yónel Chocano Figueroa</cp:lastModifiedBy>
  <cp:revision>1</cp:revision>
  <dcterms:created xsi:type="dcterms:W3CDTF">2015-04-29T13:53:00Z</dcterms:created>
  <dcterms:modified xsi:type="dcterms:W3CDTF">2015-04-29T14:08:00Z</dcterms:modified>
</cp:coreProperties>
</file>